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QUINTA ARTE IMMAGINE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Arte e immagine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Elabora e produce le immagini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creativo e autonomo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utilizzando molteplici tecniche, materiali e strumenti.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padronanza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un’opera d’arte.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Elabora e produce le immagini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autonomo e  adeguato, 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utilizzando molteplici tecniche, materiali e strumenti.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consapevolezza 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 principali aspetti di un’opera d’arte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Elabora e produce le immagini in modo autonomo 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corretto,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utilizzando molteplici tecniche, materiali e strumenti.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chiarezza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un’opera d’arte.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Elabora produce le immagini 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 modo semplice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utilizzando tecniche, materiali e strumenti.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gli aspetti di un’opera d’arte se guidato.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labora e produce le immagini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qualche difficoltà,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utilizzando alcune tecniche, materiali e strumenti.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i principali aspetti di un’opera d’arte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solo se guidato.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riesce, anche se guidato dal docente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ad elaborare e produrre le immagini, utilizzando alcune tecniche, materiali e strumenti.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sserva e descrive gli aspetti di un’opera d’arte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frammentario ed non adeguato.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